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Löschkonzept</w:t>
      </w:r>
    </w:p>
    <w:p>
      <w:r>
        <w:rPr>
          <w:i/>
        </w:rPr>
        <w:t>Vorlage C aus dem Datenschutz-Leitfaden für Betreiber</w:t>
      </w:r>
    </w:p>
    <w:p>
      <w:r>
        <w:rPr>
          <w:b/>
        </w:rPr>
        <w:t>Dieser Leitfaden ist eine Arbeitshilfe. Er ist keine Rechtsberatung.</w:t>
      </w:r>
    </w:p>
    <w:p>
      <w:r>
        <w:rPr/>
        <w:t>Das Produkt löscht oder anonymisiert personenbezogene Daten nach festen Fristen. Die Fristen ändern Sie unter „Settings" → „Security" auf der Karte „Data protection". Nur der E-Mail-Eingang hat eine eigene Einstellung unter „E-Mail Settings".</w:t>
      </w:r>
    </w:p>
    <w:tbl>
      <w:tblPr>
        <w:tblStyle w:val="TableGrid"/>
        <w:tblW w:type="auto" w:w="0"/>
        <w:jc w:val="left"/>
        <w:tblCellMar>
          <w:top w:w="50" w:type="dxa"/>
          <w:left w:w="100" w:type="dxa"/>
          <w:bottom w:w="50" w:type="dxa"/>
          <w:right w:w="100" w:type="dxa"/>
        </w:tblCellMar>
        <w:tblLook w:firstColumn="1" w:firstRow="1" w:lastColumn="0" w:lastRow="0" w:noHBand="0" w:noVBand="1" w:val="04A0"/>
      </w:tblPr>
      <w:tblGrid>
        <w:gridCol w:w="2409"/>
        <w:gridCol w:w="2409"/>
        <w:gridCol w:w="2409"/>
        <w:gridCol w:w="2409"/>
      </w:tblGrid>
      <w:tr>
        <w:trPr>
          <w:tblHeader w:val="true"/>
        </w:trPr>
        <w:tc>
          <w:tcPr>
            <w:tcW w:type="dxa" w:w="3855"/>
            <w:shd w:val="clear" w:color="auto" w:fill="E6E6E6"/>
          </w:tcPr>
          <w:p>
            <w:pPr>
              <w:spacing w:after="40"/>
            </w:pPr>
            <w:r>
              <w:rPr>
                <w:b/>
              </w:rPr>
              <w:t>Daten</w:t>
            </w:r>
          </w:p>
        </w:tc>
        <w:tc>
          <w:tcPr>
            <w:tcW w:type="dxa" w:w="1928"/>
            <w:shd w:val="clear" w:color="auto" w:fill="E6E6E6"/>
          </w:tcPr>
          <w:p>
            <w:pPr>
              <w:spacing w:after="40"/>
            </w:pPr>
            <w:r>
              <w:rPr>
                <w:b/>
              </w:rPr>
              <w:t>Werkseinstellung</w:t>
            </w:r>
          </w:p>
        </w:tc>
        <w:tc>
          <w:tcPr>
            <w:tcW w:type="dxa" w:w="2120"/>
            <w:shd w:val="clear" w:color="auto" w:fill="E6E6E6"/>
          </w:tcPr>
          <w:p>
            <w:pPr>
              <w:spacing w:after="40"/>
            </w:pPr>
            <w:r>
              <w:rPr>
                <w:b/>
              </w:rPr>
              <w:t>Erlaubt</w:t>
            </w:r>
          </w:p>
        </w:tc>
        <w:tc>
          <w:tcPr>
            <w:tcW w:type="dxa" w:w="1735"/>
            <w:shd w:val="clear" w:color="auto" w:fill="E6E6E6"/>
          </w:tcPr>
          <w:p>
            <w:pPr>
              <w:spacing w:after="40"/>
            </w:pPr>
            <w:r>
              <w:rPr>
                <w:b/>
              </w:rPr>
              <w:t>Werkseitig an</w:t>
            </w:r>
          </w:p>
        </w:tc>
      </w:tr>
      <w:tr>
        <w:tc>
          <w:tcPr>
            <w:tcW w:type="dxa" w:w="3855"/>
          </w:tcPr>
          <w:p>
            <w:pPr>
              <w:spacing w:after="40"/>
            </w:pPr>
            <w:r>
              <w:rPr/>
              <w:t>Anmeldeereignisse im Sicherheitsprotokoll</w:t>
            </w:r>
          </w:p>
        </w:tc>
        <w:tc>
          <w:tcPr>
            <w:tcW w:type="dxa" w:w="1928"/>
          </w:tcPr>
          <w:p>
            <w:pPr>
              <w:spacing w:after="40"/>
            </w:pPr>
            <w:r>
              <w:rPr/>
              <w:t>90 Tage</w:t>
            </w:r>
          </w:p>
        </w:tc>
        <w:tc>
          <w:tcPr>
            <w:tcW w:type="dxa" w:w="2120"/>
          </w:tcPr>
          <w:p>
            <w:pPr>
              <w:spacing w:after="40"/>
            </w:pPr>
            <w:r>
              <w:rPr/>
              <w:t>7–365 Tage</w:t>
            </w:r>
          </w:p>
        </w:tc>
        <w:tc>
          <w:tcPr>
            <w:tcW w:type="dxa" w:w="1735"/>
          </w:tcPr>
          <w:p>
            <w:pPr>
              <w:spacing w:after="40"/>
            </w:pPr>
            <w:r>
              <w:rPr/>
              <w:t>ja</w:t>
            </w:r>
          </w:p>
        </w:tc>
      </w:tr>
      <w:tr>
        <w:tc>
          <w:tcPr>
            <w:tcW w:type="dxa" w:w="3855"/>
          </w:tcPr>
          <w:p>
            <w:pPr>
              <w:spacing w:after="40"/>
            </w:pPr>
            <w:r>
              <w:rPr/>
              <w:t>Verwaltungsaktionen im Sicherheitsprotokoll</w:t>
            </w:r>
          </w:p>
        </w:tc>
        <w:tc>
          <w:tcPr>
            <w:tcW w:type="dxa" w:w="1928"/>
          </w:tcPr>
          <w:p>
            <w:pPr>
              <w:spacing w:after="40"/>
            </w:pPr>
            <w:r>
              <w:rPr/>
              <w:t>12 Monate</w:t>
            </w:r>
          </w:p>
        </w:tc>
        <w:tc>
          <w:tcPr>
            <w:tcW w:type="dxa" w:w="2120"/>
          </w:tcPr>
          <w:p>
            <w:pPr>
              <w:spacing w:after="40"/>
            </w:pPr>
            <w:r>
              <w:rPr/>
              <w:t>1–120 Monate</w:t>
            </w:r>
          </w:p>
        </w:tc>
        <w:tc>
          <w:tcPr>
            <w:tcW w:type="dxa" w:w="1735"/>
          </w:tcPr>
          <w:p>
            <w:pPr>
              <w:spacing w:after="40"/>
            </w:pPr>
            <w:r>
              <w:rPr/>
              <w:t>ja</w:t>
            </w:r>
          </w:p>
        </w:tc>
      </w:tr>
      <w:tr>
        <w:tc>
          <w:tcPr>
            <w:tcW w:type="dxa" w:w="3855"/>
          </w:tcPr>
          <w:p>
            <w:pPr>
              <w:spacing w:after="40"/>
            </w:pPr>
            <w:r>
              <w:rPr/>
              <w:t>Gelöschte Konten</w:t>
            </w:r>
          </w:p>
        </w:tc>
        <w:tc>
          <w:tcPr>
            <w:tcW w:type="dxa" w:w="1928"/>
          </w:tcPr>
          <w:p>
            <w:pPr>
              <w:spacing w:after="40"/>
            </w:pPr>
            <w:r>
              <w:rPr/>
              <w:t>36 Monate</w:t>
            </w:r>
          </w:p>
        </w:tc>
        <w:tc>
          <w:tcPr>
            <w:tcW w:type="dxa" w:w="2120"/>
          </w:tcPr>
          <w:p>
            <w:pPr>
              <w:spacing w:after="40"/>
            </w:pPr>
            <w:r>
              <w:rPr/>
              <w:t>1–120 Monate</w:t>
            </w:r>
          </w:p>
        </w:tc>
        <w:tc>
          <w:tcPr>
            <w:tcW w:type="dxa" w:w="1735"/>
          </w:tcPr>
          <w:p>
            <w:pPr>
              <w:spacing w:after="40"/>
            </w:pPr>
            <w:r>
              <w:rPr/>
              <w:t>nein</w:t>
            </w:r>
          </w:p>
        </w:tc>
      </w:tr>
      <w:tr>
        <w:tc>
          <w:tcPr>
            <w:tcW w:type="dxa" w:w="3855"/>
          </w:tcPr>
          <w:p>
            <w:pPr>
              <w:spacing w:after="40"/>
            </w:pPr>
            <w:r>
              <w:rPr/>
              <w:t>Externe Kontakte</w:t>
            </w:r>
          </w:p>
        </w:tc>
        <w:tc>
          <w:tcPr>
            <w:tcW w:type="dxa" w:w="1928"/>
          </w:tcPr>
          <w:p>
            <w:pPr>
              <w:spacing w:after="40"/>
            </w:pPr>
            <w:r>
              <w:rPr/>
              <w:t>36 Monate</w:t>
            </w:r>
          </w:p>
        </w:tc>
        <w:tc>
          <w:tcPr>
            <w:tcW w:type="dxa" w:w="2120"/>
          </w:tcPr>
          <w:p>
            <w:pPr>
              <w:spacing w:after="40"/>
            </w:pPr>
            <w:r>
              <w:rPr/>
              <w:t>1–120 Monate</w:t>
            </w:r>
          </w:p>
        </w:tc>
        <w:tc>
          <w:tcPr>
            <w:tcW w:type="dxa" w:w="1735"/>
          </w:tcPr>
          <w:p>
            <w:pPr>
              <w:spacing w:after="40"/>
            </w:pPr>
            <w:r>
              <w:rPr/>
              <w:t>nein</w:t>
            </w:r>
          </w:p>
        </w:tc>
      </w:tr>
      <w:tr>
        <w:tc>
          <w:tcPr>
            <w:tcW w:type="dxa" w:w="3855"/>
          </w:tcPr>
          <w:p>
            <w:pPr>
              <w:spacing w:after="40"/>
            </w:pPr>
            <w:r>
              <w:rPr/>
              <w:t>Eingegangene E-Mails</w:t>
            </w:r>
          </w:p>
        </w:tc>
        <w:tc>
          <w:tcPr>
            <w:tcW w:type="dxa" w:w="1928"/>
          </w:tcPr>
          <w:p>
            <w:pPr>
              <w:spacing w:after="40"/>
            </w:pPr>
            <w:r>
              <w:rPr/>
              <w:t>30 Tage</w:t>
            </w:r>
          </w:p>
        </w:tc>
        <w:tc>
          <w:tcPr>
            <w:tcW w:type="dxa" w:w="2120"/>
          </w:tcPr>
          <w:p>
            <w:pPr>
              <w:spacing w:after="40"/>
            </w:pPr>
            <w:r>
              <w:rPr/>
              <w:t>1 Tag oder mehr</w:t>
            </w:r>
          </w:p>
        </w:tc>
        <w:tc>
          <w:tcPr>
            <w:tcW w:type="dxa" w:w="1735"/>
          </w:tcPr>
          <w:p>
            <w:pPr>
              <w:spacing w:after="40"/>
            </w:pPr>
            <w:r>
              <w:rPr/>
              <w:t>ja</w:t>
            </w:r>
          </w:p>
        </w:tc>
      </w:tr>
      <w:tr>
        <w:tc>
          <w:tcPr>
            <w:tcW w:type="dxa" w:w="3855"/>
          </w:tcPr>
          <w:p>
            <w:pPr>
              <w:spacing w:after="40"/>
            </w:pPr>
            <w:r>
              <w:rPr/>
              <w:t>Archivdateien</w:t>
            </w:r>
          </w:p>
        </w:tc>
        <w:tc>
          <w:tcPr>
            <w:tcW w:type="dxa" w:w="1928"/>
          </w:tcPr>
          <w:p>
            <w:pPr>
              <w:spacing w:after="40"/>
            </w:pPr>
            <w:r>
              <w:rPr/>
              <w:t>keine Frist</w:t>
            </w:r>
          </w:p>
        </w:tc>
        <w:tc>
          <w:tcPr>
            <w:tcW w:type="dxa" w:w="2120"/>
          </w:tcPr>
          <w:p>
            <w:pPr>
              <w:spacing w:after="40"/>
            </w:pPr>
            <w:r>
              <w:rPr/>
              <w:t>–</w:t>
            </w:r>
          </w:p>
        </w:tc>
        <w:tc>
          <w:tcPr>
            <w:tcW w:type="dxa" w:w="1735"/>
          </w:tcPr>
          <w:p>
            <w:pPr>
              <w:spacing w:after="40"/>
            </w:pPr>
            <w:r>
              <w:rPr/>
              <w:t>–</w:t>
            </w:r>
          </w:p>
        </w:tc>
      </w:tr>
      <w:tr>
        <w:tc>
          <w:tcPr>
            <w:tcW w:type="dxa" w:w="3855"/>
          </w:tcPr>
          <w:p>
            <w:pPr>
              <w:spacing w:after="40"/>
            </w:pPr>
            <w:r>
              <w:rPr/>
              <w:t>Sicherungen</w:t>
            </w:r>
          </w:p>
        </w:tc>
        <w:tc>
          <w:tcPr>
            <w:tcW w:type="dxa" w:w="1928"/>
          </w:tcPr>
          <w:p>
            <w:pPr>
              <w:spacing w:after="40"/>
            </w:pPr>
            <w:r>
              <w:rPr/>
              <w:t>legen Sie fest</w:t>
            </w:r>
          </w:p>
        </w:tc>
        <w:tc>
          <w:tcPr>
            <w:tcW w:type="dxa" w:w="2120"/>
          </w:tcPr>
          <w:p>
            <w:pPr>
              <w:spacing w:after="40"/>
            </w:pPr>
            <w:r>
              <w:rPr/>
              <w:t>–</w:t>
            </w:r>
          </w:p>
        </w:tc>
        <w:tc>
          <w:tcPr>
            <w:tcW w:type="dxa" w:w="1735"/>
          </w:tcPr>
          <w:p>
            <w:pPr>
              <w:spacing w:after="40"/>
            </w:pPr>
            <w:r>
              <w:rPr/>
              <w:t>–</w:t>
            </w:r>
          </w:p>
        </w:tc>
      </w:tr>
    </w:tbl>
    <w:p>
      <w:pPr>
        <w:spacing w:after="0"/>
      </w:pPr>
    </w:p>
    <w:p>
      <w:pPr>
        <w:pStyle w:val="Heading1"/>
      </w:pPr>
      <w:r>
        <w:t>Leitregel: keine Frist für Tickets</w:t>
      </w:r>
    </w:p>
    <w:p>
      <w:r>
        <w:rPr/>
        <w:t>Tickets haben keine Aufbewahrungsfrist. Ihr Inhalt erfüllt weiter einen Zweck, zum Beispiel die Kundenhistorie und Geschäftsbriefe. Eine Löschung nach dem Alter des Tickets träfe auch Personen, die noch aktiv sind. Sie würde außerdem Berichte, Fristen und Zeiterfassung nachträglich verändern. Personenbezogene Daten werden deshalb anonymisiert, wenn eine Person ausscheidet oder die Löschung verlangt.</w:t>
      </w:r>
    </w:p>
    <w:p>
      <w:pPr>
        <w:pStyle w:val="Heading1"/>
      </w:pPr>
      <w:r>
        <w:t>Die einzelnen Fristen</w:t>
      </w:r>
    </w:p>
    <w:p>
      <w:r>
        <w:rPr>
          <w:b/>
        </w:rPr>
        <w:t>Anmeldeereignisse.</w:t>
      </w:r>
      <w:r>
        <w:rPr/>
        <w:t xml:space="preserve"> Der Schalter heißt „Delete old sign-in events", das Feld „Days". Anmeldeereignisse enthalten IP-Adresse und Browser. Alte Einträge werden im Nachtlauf gelöscht.</w:t>
      </w:r>
    </w:p>
    <w:p>
      <w:r>
        <w:rPr>
          <w:b/>
        </w:rPr>
        <w:t>Verwaltungsaktionen.</w:t>
      </w:r>
      <w:r>
        <w:rPr/>
        <w:t xml:space="preserve"> Der Schalter heißt „Delete old administrator actions", das Feld „Months". Verwaltungsaktionen zeigen, wer was geändert hat. Der Nachtlauf löscht alte Einträge.</w:t>
      </w:r>
    </w:p>
    <w:p>
      <w:r>
        <w:rPr>
          <w:b/>
        </w:rPr>
        <w:t>Gelöschte Konten.</w:t>
      </w:r>
      <w:r>
        <w:rPr/>
        <w:t xml:space="preserve"> Der Schalter heißt „Anonymize deleted users automatically". Die Frist zählt ab dem Tag, an dem das Konto gelöscht wurde. Name und E-Mail-Adresse werden durch einen Platzhalter ersetzt. Tickets und Kennzahlen bleiben. Beim Einschalten zeigt eine Vorschau, wen der erste Lauf anonymisiert.</w:t>
      </w:r>
    </w:p>
    <w:p>
      <w:r>
        <w:rPr>
          <w:b/>
        </w:rPr>
        <w:t>Externe Kontakte.</w:t>
      </w:r>
      <w:r>
        <w:rPr/>
        <w:t xml:space="preserve"> Der Schalter heißt „Anonymize external contacts automatically", das Feld „Months without contact". Es betrifft Personen ohne Mitarbeiterkonto. Die Frist zählt ab dem letzten Kontakt. Personen mit einem offenen Ticket werden übersprungen.</w:t>
      </w:r>
    </w:p>
    <w:p>
      <w:r>
        <w:rPr>
          <w:b/>
        </w:rPr>
        <w:t>Eingegangene E-Mails.</w:t>
      </w:r>
      <w:r>
        <w:rPr/>
        <w:t xml:space="preserve"> Das Feld heißt „Retention (days)". Ältere Nachrichten werden aus dem Posteingang und dem Ordner für verarbeitete Nachrichten gelöscht. Auch die Aufzeichnung des Systems über die eingegangenen E-Mails wird gelöscht. Das Ticket, das aus einer E-Mail entstanden ist, bleibt. Das gilt nur, wenn der E-Mail-Eingang eingerichtet ist.</w:t>
      </w:r>
    </w:p>
    <w:p>
      <w:r>
        <w:rPr>
          <w:b/>
        </w:rPr>
        <w:t>Archivdateien.</w:t>
      </w:r>
      <w:r>
        <w:rPr/>
        <w:t xml:space="preserve"> Archivdateien haben keine Frist. Wann Sie eine Archivdatei löschen, entscheiden Sie selbst. Nach einer Anonymisierung schreibt der Nachtlauf auch die Archivdateien neu.</w:t>
      </w:r>
    </w:p>
    <w:p>
      <w:r>
        <w:rPr>
          <w:b/>
        </w:rPr>
        <w:t>Sicherungen.</w:t>
      </w:r>
      <w:r>
        <w:rPr/>
        <w:t xml:space="preserve"> Für Sicherungen sind Sie selbst zuständig. Halten Sie in Ihrem Löschkonzept fest, wie lange Sie sie aufbewahren. Als Werkseinstellung legt das Sicherungsprogramm jeden Tag eine Sicherung an. Es bewahrt je eine Sicherung der letzten 14 Tage, 4 Wochen, 12 Monate, 4 Quartale und 5 Jahre auf. Eine Sicherung kann damit rund fünf Jahre alt werden. Von Hand angelegte Sicherungen löscht es nicht. Diese Zahlen können Sie im Sicherungsprogramm ändern. Legen Sie sie in Ihrem Löschkonzept fest. Diese Sicherungen liegen im Ordner „backups" des Installationsordners. Eine Anonymisierung ändert keine vorhandene Sicherung. Anonymisierungen aus der Zeit vor einer Wiederherstellung werden erneut angewendet. Die Karte „Data protection" zeigt das unter „Restore from a backup".</w:t>
      </w:r>
    </w:p>
    <w:p>
      <w:r>
        <w:rPr>
          <w:b/>
        </w:rPr>
        <w:t>Sicherungen vor einem Update.</w:t>
      </w:r>
      <w:r>
        <w:rPr/>
        <w:t xml:space="preserve"> Vor jedem Update legt das Produkt eine vollständige Sicherung an. Sie enthält die Datenbank, die Anhänge und die Archivdateien. Sie liegt im Ordner „Container" des Installationsordners im Unterordner „backups". Unter Linux ist das als Werkseinstellung der Ordner /opt/smitey/Container/backups. Das Produkt löscht diese Sicherungen nie selbst. Legen Sie fest, wie lange Sie sie aufbewahren, und löschen Sie ältere Sicherungen selbst.</w:t>
      </w:r>
    </w:p>
    <w:p>
      <w:r>
        <w:rPr/>
        <w:t>Die Anonymisierungen laufen einmal am Tag um 03:00 Uhr. Es gilt die Zeitzone unter „General Settings". Jeder Block der Karte zeigt das Ergebnis des letzten Laufs in einer Zeile „Last run".</w:t>
      </w:r>
    </w:p>
    <w:p>
      <w:pPr>
        <w:pStyle w:val="Heading1"/>
      </w:pPr>
      <w:r>
        <w:t>Personen, die zurückkommen</w:t>
      </w:r>
    </w:p>
    <w:p>
      <w:r>
        <w:rPr/>
        <w:t>Eine Person kann sich nach einer Anonymisierung wieder melden. Alte Anonymisierungen treffen ihre neuen Daten nie. Wird eine Anonymisierung erneut angewendet, erfasst sie nur Daten, die vor ihr entstanden sind. Das gilt auch, nachdem eine Sicherung oder ein Archiv zurückgespielt wurde.</w:t>
      </w:r>
    </w:p>
    <w:p>
      <w:pPr>
        <w:pStyle w:val="Heading1"/>
      </w:pPr>
      <w:r>
        <w:t>Nachweis der Anonymisierungen</w:t>
      </w:r>
    </w:p>
    <w:p>
      <w:r>
        <w:rPr/>
        <w:t>„Download list of anonymizations" listet jede bisherige Anonymisierung auf. Bewahren Sie diese Liste auf. Sie brauchen sie, wenn Sie eine ältere Sicherung einspielen.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Seite </w:t>
    </w:r>
    <w:fldSimple w:instr="PAGE">
      <w:r>
        <w:rPr>
          <w:sz w:val="17"/>
        </w:rPr>
        <w:t>1</w:t>
      </w:r>
    </w:fldSimple>
    <w:r>
      <w:rPr>
        <w:sz w:val="17"/>
      </w:rPr>
      <w:t xml:space="preserve"> von </w:t>
    </w:r>
    <w:fldSimple w:instr="NUMPAGES">
      <w:r>
        <w:rPr>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s="Arial" w:eastAsia="Arial"/>
      <w:color w:val="11111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1111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b/>
      <w:color w:val="11111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Löschkonzept</dc:title>
  <dc:subject>sha256:0745983afa5fc1577ed443ab6838870b0a7b14b27a5764becbdf2b04d0712411</dc:subject>
  <dc:creator>Smitey</dc:creator>
  <cp:keywords/>
  <dc:description>Dieser Leitfaden ist eine Arbeitshilfe. Er ist keine Rechtsberatung.</dc:description>
  <cp:lastModifiedBy>Smitey</cp:lastModifiedBy>
  <cp:revision>1</cp:revision>
  <dcterms:created xsi:type="dcterms:W3CDTF">2026-10-06T19:55:29Z</dcterms:created>
  <dcterms:modified xsi:type="dcterms:W3CDTF">2026-10-06T19:55:29Z</dcterms:modified>
  <cp:category/>
  <dc:language>de-DE</dc:language>
</cp:coreProperties>
</file>