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Record of processing activities</w:t>
      </w:r>
    </w:p>
    <w:p>
      <w:r>
        <w:rPr>
          <w:i/>
        </w:rPr>
        <w:t>Template A from the data protection guide for operators</w:t>
      </w:r>
    </w:p>
    <w:p>
      <w:r>
        <w:rPr>
          <w:b/>
        </w:rPr>
        <w:t>This guide is a working aid. It is not legal advice.</w:t>
      </w:r>
    </w:p>
    <w:p>
      <w:r>
        <w:rPr/>
        <w:t>Art. 30 GDPR requires a record of processing activities. This template covers the ticket system. Fill in the four empty fields. Your other processing activities belong in your own record.</w:t>
      </w:r>
    </w:p>
    <w:tbl>
      <w:tblPr>
        <w:tblStyle w:val="TableGrid"/>
        <w:tblW w:type="auto" w:w="0"/>
        <w:jc w:val="left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662"/>
            <w:shd w:val="clear" w:color="auto" w:fill="E6E6E6"/>
          </w:tcPr>
          <w:p>
            <w:pPr>
              <w:spacing w:after="40"/>
            </w:pPr>
            <w:r>
              <w:rPr>
                <w:b/>
              </w:rPr>
              <w:t>Field</w:t>
            </w:r>
          </w:p>
        </w:tc>
        <w:tc>
          <w:tcPr>
            <w:tcW w:type="dxa" w:w="5975"/>
            <w:shd w:val="clear" w:color="auto" w:fill="E6E6E6"/>
          </w:tcPr>
          <w:p>
            <w:pPr>
              <w:spacing w:after="40"/>
            </w:pPr>
            <w:r>
              <w:rPr>
                <w:b/>
              </w:rPr>
              <w:t>Entry</w:t>
            </w:r>
          </w:p>
        </w:tc>
      </w:tr>
      <w:tr>
        <w:trPr>
          <w:trHeight w:val="510" w:hRule="atLeast"/>
        </w:trPr>
        <w:tc>
          <w:tcPr>
            <w:tcW w:type="dxa" w:w="3662"/>
          </w:tcPr>
          <w:p>
            <w:pPr>
              <w:spacing w:after="40"/>
            </w:pPr>
            <w:r>
              <w:rPr/>
              <w:t>Company</w:t>
            </w:r>
          </w:p>
        </w:tc>
        <w:tc>
          <w:tcPr>
            <w:tcW w:type="dxa" w:w="5975"/>
            <w:shd w:val="clear" w:color="auto" w:fill="F2F2F2"/>
          </w:tcPr>
          <w:p>
            <w:pPr>
              <w:spacing w:after="40"/>
            </w:pPr>
          </w:p>
        </w:tc>
      </w:tr>
      <w:tr>
        <w:trPr>
          <w:trHeight w:val="510" w:hRule="atLeast"/>
        </w:trPr>
        <w:tc>
          <w:tcPr>
            <w:tcW w:type="dxa" w:w="3662"/>
          </w:tcPr>
          <w:p>
            <w:pPr>
              <w:spacing w:after="40"/>
            </w:pPr>
            <w:r>
              <w:rPr/>
              <w:t>Controller and contact details</w:t>
            </w:r>
          </w:p>
        </w:tc>
        <w:tc>
          <w:tcPr>
            <w:tcW w:type="dxa" w:w="5975"/>
            <w:shd w:val="clear" w:color="auto" w:fill="F2F2F2"/>
          </w:tcPr>
          <w:p>
            <w:pPr>
              <w:spacing w:after="40"/>
            </w:pPr>
          </w:p>
        </w:tc>
      </w:tr>
      <w:tr>
        <w:trPr>
          <w:trHeight w:val="510" w:hRule="atLeast"/>
        </w:trPr>
        <w:tc>
          <w:tcPr>
            <w:tcW w:type="dxa" w:w="3662"/>
          </w:tcPr>
          <w:p>
            <w:pPr>
              <w:spacing w:after="40"/>
            </w:pPr>
            <w:r>
              <w:rPr/>
              <w:t>Data protection officer</w:t>
            </w:r>
          </w:p>
        </w:tc>
        <w:tc>
          <w:tcPr>
            <w:tcW w:type="dxa" w:w="5975"/>
            <w:shd w:val="clear" w:color="auto" w:fill="F2F2F2"/>
          </w:tcPr>
          <w:p>
            <w:pPr>
              <w:spacing w:after="40"/>
            </w:pPr>
          </w:p>
        </w:tc>
      </w:tr>
      <w:tr>
        <w:trPr>
          <w:trHeight w:val="510" w:hRule="atLeast"/>
        </w:trPr>
        <w:tc>
          <w:tcPr>
            <w:tcW w:type="dxa" w:w="3662"/>
          </w:tcPr>
          <w:p>
            <w:pPr>
              <w:spacing w:after="40"/>
            </w:pPr>
            <w:r>
              <w:rPr/>
              <w:t>Hosting of the server</w:t>
            </w:r>
          </w:p>
        </w:tc>
        <w:tc>
          <w:tcPr>
            <w:tcW w:type="dxa" w:w="5975"/>
            <w:shd w:val="clear" w:color="auto" w:fill="F2F2F2"/>
          </w:tcPr>
          <w:p>
            <w:pPr>
              <w:spacing w:after="40"/>
            </w:pPr>
          </w:p>
        </w:tc>
      </w:tr>
    </w:tbl>
    <w:p>
      <w:pPr>
        <w:spacing w:after="0"/>
      </w:pPr>
    </w:p>
    <w:p>
      <w:pPr>
        <w:pStyle w:val="Heading1"/>
      </w:pPr>
      <w:r>
        <w:t>Purposes and data</w:t>
      </w:r>
    </w:p>
    <w:tbl>
      <w:tblPr>
        <w:tblStyle w:val="TableGrid"/>
        <w:tblW w:type="auto" w:w="0"/>
        <w:jc w:val="left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120"/>
            <w:shd w:val="clear" w:color="auto" w:fill="E6E6E6"/>
          </w:tcPr>
          <w:p>
            <w:pPr>
              <w:spacing w:after="40"/>
            </w:pPr>
            <w:r>
              <w:rPr>
                <w:b/>
              </w:rPr>
              <w:t>Purpose</w:t>
            </w:r>
          </w:p>
        </w:tc>
        <w:tc>
          <w:tcPr>
            <w:tcW w:type="dxa" w:w="2506"/>
            <w:shd w:val="clear" w:color="auto" w:fill="E6E6E6"/>
          </w:tcPr>
          <w:p>
            <w:pPr>
              <w:spacing w:after="40"/>
            </w:pPr>
            <w:r>
              <w:rPr>
                <w:b/>
              </w:rPr>
              <w:t>Data subjects</w:t>
            </w:r>
          </w:p>
        </w:tc>
        <w:tc>
          <w:tcPr>
            <w:tcW w:type="dxa" w:w="5012"/>
            <w:shd w:val="clear" w:color="auto" w:fill="E6E6E6"/>
          </w:tcPr>
          <w:p>
            <w:pPr>
              <w:spacing w:after="40"/>
            </w:pPr>
            <w:r>
              <w:rPr>
                <w:b/>
              </w:rPr>
              <w:t>Data</w:t>
            </w:r>
          </w:p>
        </w:tc>
      </w:tr>
      <w:tr>
        <w:tc>
          <w:tcPr>
            <w:tcW w:type="dxa" w:w="2120"/>
          </w:tcPr>
          <w:p>
            <w:pPr>
              <w:spacing w:after="40"/>
            </w:pPr>
            <w:r>
              <w:rPr/>
              <w:t>Handling requests</w:t>
            </w:r>
          </w:p>
        </w:tc>
        <w:tc>
          <w:tcPr>
            <w:tcW w:type="dxa" w:w="2506"/>
          </w:tcPr>
          <w:p>
            <w:pPr>
              <w:spacing w:after="40"/>
            </w:pPr>
            <w:r>
              <w:rPr/>
              <w:t>customers, external contacts, employees</w:t>
            </w:r>
          </w:p>
        </w:tc>
        <w:tc>
          <w:tcPr>
            <w:tcW w:type="dxa" w:w="5012"/>
          </w:tcPr>
          <w:p>
            <w:pPr>
              <w:spacing w:after="40"/>
            </w:pPr>
            <w:r>
              <w:rPr/>
              <w:t>name, e-mail address, phone number, ticket content, comments, attachments, ticket history</w:t>
            </w:r>
          </w:p>
        </w:tc>
      </w:tr>
      <w:tr>
        <w:tc>
          <w:tcPr>
            <w:tcW w:type="dxa" w:w="2120"/>
          </w:tcPr>
          <w:p>
            <w:pPr>
              <w:spacing w:after="40"/>
            </w:pPr>
            <w:r>
              <w:rPr/>
              <w:t>Managing user accounts</w:t>
            </w:r>
          </w:p>
        </w:tc>
        <w:tc>
          <w:tcPr>
            <w:tcW w:type="dxa" w:w="2506"/>
          </w:tcPr>
          <w:p>
            <w:pPr>
              <w:spacing w:after="40"/>
            </w:pPr>
            <w:r>
              <w:rPr/>
              <w:t>employees, customers with an account</w:t>
            </w:r>
          </w:p>
        </w:tc>
        <w:tc>
          <w:tcPr>
            <w:tcW w:type="dxa" w:w="5012"/>
          </w:tcPr>
          <w:p>
            <w:pPr>
              <w:spacing w:after="40"/>
            </w:pPr>
            <w:r>
              <w:rPr/>
              <w:t>name, e-mail address, sign-in name, department, position, location, role, team memberships, password as a hash, two-factor keys</w:t>
            </w:r>
          </w:p>
        </w:tc>
      </w:tr>
      <w:tr>
        <w:tc>
          <w:tcPr>
            <w:tcW w:type="dxa" w:w="2120"/>
          </w:tcPr>
          <w:p>
            <w:pPr>
              <w:spacing w:after="40"/>
            </w:pPr>
            <w:r>
              <w:rPr/>
              <w:t>Security log</w:t>
            </w:r>
          </w:p>
        </w:tc>
        <w:tc>
          <w:tcPr>
            <w:tcW w:type="dxa" w:w="2506"/>
          </w:tcPr>
          <w:p>
            <w:pPr>
              <w:spacing w:after="40"/>
            </w:pPr>
            <w:r>
              <w:rPr/>
              <w:t>users, administrators</w:t>
            </w:r>
          </w:p>
        </w:tc>
        <w:tc>
          <w:tcPr>
            <w:tcW w:type="dxa" w:w="5012"/>
          </w:tcPr>
          <w:p>
            <w:pPr>
              <w:spacing w:after="40"/>
            </w:pPr>
            <w:r>
              <w:rPr/>
              <w:t>failed sign-ins, account lockouts and password changes with IP address and browser; successful sign-ins only for administrators or after failed attempts; administrator actions with the name of the person acting</w:t>
            </w:r>
          </w:p>
        </w:tc>
      </w:tr>
      <w:tr>
        <w:tc>
          <w:tcPr>
            <w:tcW w:type="dxa" w:w="2120"/>
          </w:tcPr>
          <w:p>
            <w:pPr>
              <w:spacing w:after="40"/>
            </w:pPr>
            <w:r>
              <w:rPr/>
              <w:t>E-mail channel</w:t>
            </w:r>
          </w:p>
        </w:tc>
        <w:tc>
          <w:tcPr>
            <w:tcW w:type="dxa" w:w="2506"/>
          </w:tcPr>
          <w:p>
            <w:pPr>
              <w:spacing w:after="40"/>
            </w:pPr>
            <w:r>
              <w:rPr/>
              <w:t>senders and recipients of e-mails</w:t>
            </w:r>
          </w:p>
        </w:tc>
        <w:tc>
          <w:tcPr>
            <w:tcW w:type="dxa" w:w="5012"/>
          </w:tcPr>
          <w:p>
            <w:pPr>
              <w:spacing w:after="40"/>
            </w:pPr>
            <w:r>
              <w:rPr/>
              <w:t>e-mail address, subject, message text, attachments</w:t>
            </w:r>
          </w:p>
        </w:tc>
      </w:tr>
      <w:tr>
        <w:tc>
          <w:tcPr>
            <w:tcW w:type="dxa" w:w="2120"/>
          </w:tcPr>
          <w:p>
            <w:pPr>
              <w:spacing w:after="40"/>
            </w:pPr>
            <w:r>
              <w:rPr/>
              <w:t>Satisfaction survey</w:t>
            </w:r>
          </w:p>
        </w:tc>
        <w:tc>
          <w:tcPr>
            <w:tcW w:type="dxa" w:w="2506"/>
          </w:tcPr>
          <w:p>
            <w:pPr>
              <w:spacing w:after="40"/>
            </w:pPr>
            <w:r>
              <w:rPr/>
              <w:t>requesters of resolved tickets</w:t>
            </w:r>
          </w:p>
        </w:tc>
        <w:tc>
          <w:tcPr>
            <w:tcW w:type="dxa" w:w="5012"/>
          </w:tcPr>
          <w:p>
            <w:pPr>
              <w:spacing w:after="40"/>
            </w:pPr>
            <w:r>
              <w:rPr/>
              <w:t>e-mail address, rating, comment</w:t>
            </w:r>
          </w:p>
        </w:tc>
      </w:tr>
      <w:tr>
        <w:tc>
          <w:tcPr>
            <w:tcW w:type="dxa" w:w="2120"/>
          </w:tcPr>
          <w:p>
            <w:pPr>
              <w:spacing w:after="40"/>
            </w:pPr>
            <w:r>
              <w:rPr/>
              <w:t>Time tracking</w:t>
            </w:r>
          </w:p>
        </w:tc>
        <w:tc>
          <w:tcPr>
            <w:tcW w:type="dxa" w:w="2506"/>
          </w:tcPr>
          <w:p>
            <w:pPr>
              <w:spacing w:after="40"/>
            </w:pPr>
            <w:r>
              <w:rPr/>
              <w:t>agents</w:t>
            </w:r>
          </w:p>
        </w:tc>
        <w:tc>
          <w:tcPr>
            <w:tcW w:type="dxa" w:w="5012"/>
          </w:tcPr>
          <w:p>
            <w:pPr>
              <w:spacing w:after="40"/>
            </w:pPr>
            <w:r>
              <w:rPr/>
              <w:t>name, booked time, note</w:t>
            </w:r>
          </w:p>
        </w:tc>
      </w:tr>
      <w:tr>
        <w:tc>
          <w:tcPr>
            <w:tcW w:type="dxa" w:w="2120"/>
          </w:tcPr>
          <w:p>
            <w:pPr>
              <w:spacing w:after="40"/>
            </w:pPr>
            <w:r>
              <w:rPr/>
              <w:t>Knowledge base</w:t>
            </w:r>
          </w:p>
        </w:tc>
        <w:tc>
          <w:tcPr>
            <w:tcW w:type="dxa" w:w="2506"/>
          </w:tcPr>
          <w:p>
            <w:pPr>
              <w:spacing w:after="40"/>
            </w:pPr>
            <w:r>
              <w:rPr/>
              <w:t>authors of articles</w:t>
            </w:r>
          </w:p>
        </w:tc>
        <w:tc>
          <w:tcPr>
            <w:tcW w:type="dxa" w:w="5012"/>
          </w:tcPr>
          <w:p>
            <w:pPr>
              <w:spacing w:after="40"/>
            </w:pPr>
            <w:r>
              <w:rPr/>
              <w:t>name, changes to articles</w:t>
            </w:r>
          </w:p>
        </w:tc>
      </w:tr>
    </w:tbl>
    <w:p>
      <w:pPr>
        <w:spacing w:after="0"/>
      </w:pPr>
    </w:p>
    <w:p>
      <w:pPr>
        <w:pStyle w:val="Heading1"/>
      </w:pPr>
      <w:r>
        <w:t>Data subjects</w:t>
      </w:r>
    </w:p>
    <w:p>
      <w:r>
        <w:rPr/>
        <w:t>Employees with a staff account, such as agents and administrators. Customers with an account. External contacts without an account who are known only by their e-mail address.</w:t>
      </w:r>
    </w:p>
    <w:p>
      <w:pPr>
        <w:pStyle w:val="Heading1"/>
      </w:pPr>
      <w:r>
        <w:t>Recipients</w:t>
      </w:r>
    </w:p>
    <w:p>
      <w:r>
        <w:rPr/>
        <w:t>Employees of your company receive data according to their role and their teams. If you use the e-mail channel, your mail provider receives the e-mails. With single sign-on or a directory service, that provider receives the sign-in data. Your hosting provider operates the server. Smitey receives no content of the installation. Chapter E lists the license data the installation sends.</w:t>
      </w:r>
    </w:p>
    <w:p>
      <w:pPr>
        <w:pStyle w:val="Heading1"/>
      </w:pPr>
      <w:r>
        <w:t>Transfer to third countries</w:t>
      </w:r>
    </w:p>
    <w:p>
      <w:r>
        <w:rPr/>
        <w:t>The software itself transfers no content to third countries. Whether a transfer takes place depends on your hosting provider, your mail provider and your sign-in provider.</w:t>
      </w:r>
    </w:p>
    <w:p>
      <w:pPr>
        <w:pStyle w:val="Heading1"/>
      </w:pPr>
      <w:r>
        <w:t>Retention periods and measures</w:t>
      </w:r>
    </w:p>
    <w:p>
      <w:r>
        <w:rPr/>
        <w:t>The retention periods are in chapter C. The technical and organisational measures are in chapter B.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t xml:space="preserve">Page </w:t>
    </w:r>
    <w:fldSimple w:instr="PAGE">
      <w:r>
        <w:rPr>
          <w:sz w:val="17"/>
        </w:rPr>
        <w:t>1</w:t>
      </w:r>
    </w:fldSimple>
    <w:r>
      <w:rPr>
        <w:sz w:val="17"/>
      </w:rPr>
      <w:t xml:space="preserve"> of </w:t>
    </w:r>
    <w:fldSimple w:instr="NUMPAGES">
      <w:r>
        <w:rPr>
          <w:sz w:val="17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cs="Arial" w:eastAsia="Arial"/>
      <w:color w:val="111111"/>
      <w:sz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11111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hAnsi="Arial" w:cs="Arial" w:eastAsia="Arial"/>
      <w:b/>
      <w:color w:val="111111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processing activities</dc:title>
  <dc:subject>sha256:08abdc4639beeff6c02e735a1808d8a4a50f4088d7254412f21e3b314948ac9c</dc:subject>
  <dc:creator>Smitey</dc:creator>
  <cp:keywords/>
  <dc:description>This guide is a working aid. It is not legal advice.</dc:description>
  <cp:lastModifiedBy>Smitey</cp:lastModifiedBy>
  <cp:revision>1</cp:revision>
  <dcterms:created xsi:type="dcterms:W3CDTF">2026-10-06T19:40:58Z</dcterms:created>
  <dcterms:modified xsi:type="dcterms:W3CDTF">2026-10-06T19:40:58Z</dcterms:modified>
  <cp:category/>
  <dc:language>en-GB</dc:language>
</cp:coreProperties>
</file>