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Retention and deletion</w:t>
      </w:r>
    </w:p>
    <w:p>
      <w:r>
        <w:rPr>
          <w:i/>
        </w:rPr>
        <w:t>Template C from the data protection guide for operators</w:t>
      </w:r>
    </w:p>
    <w:p>
      <w:r>
        <w:rPr>
          <w:b/>
        </w:rPr>
        <w:t>This guide is a working aid. It is not legal advice.</w:t>
      </w:r>
    </w:p>
    <w:p>
      <w:r>
        <w:rPr/>
        <w:t>The product deletes or anonymizes personal data after fixed periods. You change the periods under "Settings" → "Security" on the card "Data protection". Only the e-mail intake has its own setting under "E-Mail Settings".</w:t>
      </w:r>
    </w:p>
    <w:tbl>
      <w:tblPr>
        <w:tblStyle w:val="TableGrid"/>
        <w:tblW w:type="auto" w:w="0"/>
        <w:jc w:val="left"/>
        <w:tblCellMar>
          <w:top w:w="50" w:type="dxa"/>
          <w:left w:w="100" w:type="dxa"/>
          <w:bottom w:w="50" w:type="dxa"/>
          <w:right w:w="100" w:type="dxa"/>
        </w:tblCellMar>
        <w:tblLook w:firstColumn="1" w:firstRow="1" w:lastColumn="0" w:lastRow="0" w:noHBand="0" w:noVBand="1" w:val="04A0"/>
      </w:tblPr>
      <w:tblGrid>
        <w:gridCol w:w="2409"/>
        <w:gridCol w:w="2409"/>
        <w:gridCol w:w="2409"/>
        <w:gridCol w:w="2409"/>
      </w:tblGrid>
      <w:tr>
        <w:trPr>
          <w:tblHeader w:val="true"/>
        </w:trPr>
        <w:tc>
          <w:tcPr>
            <w:tcW w:type="dxa" w:w="3855"/>
            <w:shd w:val="clear" w:color="auto" w:fill="E6E6E6"/>
          </w:tcPr>
          <w:p>
            <w:pPr>
              <w:spacing w:after="40"/>
            </w:pPr>
            <w:r>
              <w:rPr>
                <w:b/>
              </w:rPr>
              <w:t>Data</w:t>
            </w:r>
          </w:p>
        </w:tc>
        <w:tc>
          <w:tcPr>
            <w:tcW w:type="dxa" w:w="1928"/>
            <w:shd w:val="clear" w:color="auto" w:fill="E6E6E6"/>
          </w:tcPr>
          <w:p>
            <w:pPr>
              <w:spacing w:after="40"/>
            </w:pPr>
            <w:r>
              <w:rPr>
                <w:b/>
              </w:rPr>
              <w:t>Default</w:t>
            </w:r>
          </w:p>
        </w:tc>
        <w:tc>
          <w:tcPr>
            <w:tcW w:type="dxa" w:w="2120"/>
            <w:shd w:val="clear" w:color="auto" w:fill="E6E6E6"/>
          </w:tcPr>
          <w:p>
            <w:pPr>
              <w:spacing w:after="40"/>
            </w:pPr>
            <w:r>
              <w:rPr>
                <w:b/>
              </w:rPr>
              <w:t>Allowed</w:t>
            </w:r>
          </w:p>
        </w:tc>
        <w:tc>
          <w:tcPr>
            <w:tcW w:type="dxa" w:w="1735"/>
            <w:shd w:val="clear" w:color="auto" w:fill="E6E6E6"/>
          </w:tcPr>
          <w:p>
            <w:pPr>
              <w:spacing w:after="40"/>
            </w:pPr>
            <w:r>
              <w:rPr>
                <w:b/>
              </w:rPr>
              <w:t>On by default</w:t>
            </w:r>
          </w:p>
        </w:tc>
      </w:tr>
      <w:tr>
        <w:tc>
          <w:tcPr>
            <w:tcW w:type="dxa" w:w="3855"/>
          </w:tcPr>
          <w:p>
            <w:pPr>
              <w:spacing w:after="40"/>
            </w:pPr>
            <w:r>
              <w:rPr/>
              <w:t>Sign-in events in the security log</w:t>
            </w:r>
          </w:p>
        </w:tc>
        <w:tc>
          <w:tcPr>
            <w:tcW w:type="dxa" w:w="1928"/>
          </w:tcPr>
          <w:p>
            <w:pPr>
              <w:spacing w:after="40"/>
            </w:pPr>
            <w:r>
              <w:rPr/>
              <w:t>90 days</w:t>
            </w:r>
          </w:p>
        </w:tc>
        <w:tc>
          <w:tcPr>
            <w:tcW w:type="dxa" w:w="2120"/>
          </w:tcPr>
          <w:p>
            <w:pPr>
              <w:spacing w:after="40"/>
            </w:pPr>
            <w:r>
              <w:rPr/>
              <w:t>7–365 days</w:t>
            </w:r>
          </w:p>
        </w:tc>
        <w:tc>
          <w:tcPr>
            <w:tcW w:type="dxa" w:w="1735"/>
          </w:tcPr>
          <w:p>
            <w:pPr>
              <w:spacing w:after="40"/>
            </w:pPr>
            <w:r>
              <w:rPr/>
              <w:t>yes</w:t>
            </w:r>
          </w:p>
        </w:tc>
      </w:tr>
      <w:tr>
        <w:tc>
          <w:tcPr>
            <w:tcW w:type="dxa" w:w="3855"/>
          </w:tcPr>
          <w:p>
            <w:pPr>
              <w:spacing w:after="40"/>
            </w:pPr>
            <w:r>
              <w:rPr/>
              <w:t>Administrator actions in the security log</w:t>
            </w:r>
          </w:p>
        </w:tc>
        <w:tc>
          <w:tcPr>
            <w:tcW w:type="dxa" w:w="1928"/>
          </w:tcPr>
          <w:p>
            <w:pPr>
              <w:spacing w:after="40"/>
            </w:pPr>
            <w:r>
              <w:rPr/>
              <w:t>12 months</w:t>
            </w:r>
          </w:p>
        </w:tc>
        <w:tc>
          <w:tcPr>
            <w:tcW w:type="dxa" w:w="2120"/>
          </w:tcPr>
          <w:p>
            <w:pPr>
              <w:spacing w:after="40"/>
            </w:pPr>
            <w:r>
              <w:rPr/>
              <w:t>1–120 months</w:t>
            </w:r>
          </w:p>
        </w:tc>
        <w:tc>
          <w:tcPr>
            <w:tcW w:type="dxa" w:w="1735"/>
          </w:tcPr>
          <w:p>
            <w:pPr>
              <w:spacing w:after="40"/>
            </w:pPr>
            <w:r>
              <w:rPr/>
              <w:t>yes</w:t>
            </w:r>
          </w:p>
        </w:tc>
      </w:tr>
      <w:tr>
        <w:tc>
          <w:tcPr>
            <w:tcW w:type="dxa" w:w="3855"/>
          </w:tcPr>
          <w:p>
            <w:pPr>
              <w:spacing w:after="40"/>
            </w:pPr>
            <w:r>
              <w:rPr/>
              <w:t>Deleted accounts</w:t>
            </w:r>
          </w:p>
        </w:tc>
        <w:tc>
          <w:tcPr>
            <w:tcW w:type="dxa" w:w="1928"/>
          </w:tcPr>
          <w:p>
            <w:pPr>
              <w:spacing w:after="40"/>
            </w:pPr>
            <w:r>
              <w:rPr/>
              <w:t>36 months</w:t>
            </w:r>
          </w:p>
        </w:tc>
        <w:tc>
          <w:tcPr>
            <w:tcW w:type="dxa" w:w="2120"/>
          </w:tcPr>
          <w:p>
            <w:pPr>
              <w:spacing w:after="40"/>
            </w:pPr>
            <w:r>
              <w:rPr/>
              <w:t>1–120 months</w:t>
            </w:r>
          </w:p>
        </w:tc>
        <w:tc>
          <w:tcPr>
            <w:tcW w:type="dxa" w:w="1735"/>
          </w:tcPr>
          <w:p>
            <w:pPr>
              <w:spacing w:after="40"/>
            </w:pPr>
            <w:r>
              <w:rPr/>
              <w:t>no</w:t>
            </w:r>
          </w:p>
        </w:tc>
      </w:tr>
      <w:tr>
        <w:tc>
          <w:tcPr>
            <w:tcW w:type="dxa" w:w="3855"/>
          </w:tcPr>
          <w:p>
            <w:pPr>
              <w:spacing w:after="40"/>
            </w:pPr>
            <w:r>
              <w:rPr/>
              <w:t>External contacts</w:t>
            </w:r>
          </w:p>
        </w:tc>
        <w:tc>
          <w:tcPr>
            <w:tcW w:type="dxa" w:w="1928"/>
          </w:tcPr>
          <w:p>
            <w:pPr>
              <w:spacing w:after="40"/>
            </w:pPr>
            <w:r>
              <w:rPr/>
              <w:t>36 months</w:t>
            </w:r>
          </w:p>
        </w:tc>
        <w:tc>
          <w:tcPr>
            <w:tcW w:type="dxa" w:w="2120"/>
          </w:tcPr>
          <w:p>
            <w:pPr>
              <w:spacing w:after="40"/>
            </w:pPr>
            <w:r>
              <w:rPr/>
              <w:t>1–120 months</w:t>
            </w:r>
          </w:p>
        </w:tc>
        <w:tc>
          <w:tcPr>
            <w:tcW w:type="dxa" w:w="1735"/>
          </w:tcPr>
          <w:p>
            <w:pPr>
              <w:spacing w:after="40"/>
            </w:pPr>
            <w:r>
              <w:rPr/>
              <w:t>no</w:t>
            </w:r>
          </w:p>
        </w:tc>
      </w:tr>
      <w:tr>
        <w:tc>
          <w:tcPr>
            <w:tcW w:type="dxa" w:w="3855"/>
          </w:tcPr>
          <w:p>
            <w:pPr>
              <w:spacing w:after="40"/>
            </w:pPr>
            <w:r>
              <w:rPr/>
              <w:t>Received e-mails</w:t>
            </w:r>
          </w:p>
        </w:tc>
        <w:tc>
          <w:tcPr>
            <w:tcW w:type="dxa" w:w="1928"/>
          </w:tcPr>
          <w:p>
            <w:pPr>
              <w:spacing w:after="40"/>
            </w:pPr>
            <w:r>
              <w:rPr/>
              <w:t>30 days</w:t>
            </w:r>
          </w:p>
        </w:tc>
        <w:tc>
          <w:tcPr>
            <w:tcW w:type="dxa" w:w="2120"/>
          </w:tcPr>
          <w:p>
            <w:pPr>
              <w:spacing w:after="40"/>
            </w:pPr>
            <w:r>
              <w:rPr/>
              <w:t>1 day or more</w:t>
            </w:r>
          </w:p>
        </w:tc>
        <w:tc>
          <w:tcPr>
            <w:tcW w:type="dxa" w:w="1735"/>
          </w:tcPr>
          <w:p>
            <w:pPr>
              <w:spacing w:after="40"/>
            </w:pPr>
            <w:r>
              <w:rPr/>
              <w:t>yes</w:t>
            </w:r>
          </w:p>
        </w:tc>
      </w:tr>
      <w:tr>
        <w:tc>
          <w:tcPr>
            <w:tcW w:type="dxa" w:w="3855"/>
          </w:tcPr>
          <w:p>
            <w:pPr>
              <w:spacing w:after="40"/>
            </w:pPr>
            <w:r>
              <w:rPr/>
              <w:t>Archive files</w:t>
            </w:r>
          </w:p>
        </w:tc>
        <w:tc>
          <w:tcPr>
            <w:tcW w:type="dxa" w:w="1928"/>
          </w:tcPr>
          <w:p>
            <w:pPr>
              <w:spacing w:after="40"/>
            </w:pPr>
            <w:r>
              <w:rPr/>
              <w:t>no period</w:t>
            </w:r>
          </w:p>
        </w:tc>
        <w:tc>
          <w:tcPr>
            <w:tcW w:type="dxa" w:w="2120"/>
          </w:tcPr>
          <w:p>
            <w:pPr>
              <w:spacing w:after="40"/>
            </w:pPr>
            <w:r>
              <w:rPr/>
              <w:t>–</w:t>
            </w:r>
          </w:p>
        </w:tc>
        <w:tc>
          <w:tcPr>
            <w:tcW w:type="dxa" w:w="1735"/>
          </w:tcPr>
          <w:p>
            <w:pPr>
              <w:spacing w:after="40"/>
            </w:pPr>
            <w:r>
              <w:rPr/>
              <w:t>–</w:t>
            </w:r>
          </w:p>
        </w:tc>
      </w:tr>
      <w:tr>
        <w:tc>
          <w:tcPr>
            <w:tcW w:type="dxa" w:w="3855"/>
          </w:tcPr>
          <w:p>
            <w:pPr>
              <w:spacing w:after="40"/>
            </w:pPr>
            <w:r>
              <w:rPr/>
              <w:t>Backups</w:t>
            </w:r>
          </w:p>
        </w:tc>
        <w:tc>
          <w:tcPr>
            <w:tcW w:type="dxa" w:w="1928"/>
          </w:tcPr>
          <w:p>
            <w:pPr>
              <w:spacing w:after="40"/>
            </w:pPr>
            <w:r>
              <w:rPr/>
              <w:t>set by you</w:t>
            </w:r>
          </w:p>
        </w:tc>
        <w:tc>
          <w:tcPr>
            <w:tcW w:type="dxa" w:w="2120"/>
          </w:tcPr>
          <w:p>
            <w:pPr>
              <w:spacing w:after="40"/>
            </w:pPr>
            <w:r>
              <w:rPr/>
              <w:t>–</w:t>
            </w:r>
          </w:p>
        </w:tc>
        <w:tc>
          <w:tcPr>
            <w:tcW w:type="dxa" w:w="1735"/>
          </w:tcPr>
          <w:p>
            <w:pPr>
              <w:spacing w:after="40"/>
            </w:pPr>
            <w:r>
              <w:rPr/>
              <w:t>–</w:t>
            </w:r>
          </w:p>
        </w:tc>
      </w:tr>
    </w:tbl>
    <w:p>
      <w:pPr>
        <w:spacing w:after="0"/>
      </w:pPr>
    </w:p>
    <w:p>
      <w:pPr>
        <w:pStyle w:val="Heading1"/>
      </w:pPr>
      <w:r>
        <w:t>Guiding rule: no period for tickets</w:t>
      </w:r>
    </w:p>
    <w:p>
      <w:r>
        <w:rPr/>
        <w:t>Tickets have no retention period. Their content still serves a purpose, for example the customer history and business letters. A deletion by ticket age would also affect people who are still active. It would also change reports, deadlines and time tracking after the fact. Personal data is therefore anonymized when a person leaves or asks for deletion.</w:t>
      </w:r>
    </w:p>
    <w:p>
      <w:pPr>
        <w:pStyle w:val="Heading1"/>
      </w:pPr>
      <w:r>
        <w:t>The individual periods</w:t>
      </w:r>
    </w:p>
    <w:p>
      <w:r>
        <w:rPr>
          <w:b/>
        </w:rPr>
        <w:t>Sign-in events.</w:t>
      </w:r>
      <w:r>
        <w:rPr/>
        <w:t xml:space="preserve"> The switch is "Delete old sign-in events", the field is "Days". Sign-in events contain IP address and browser. Old entries are deleted in the nightly run.</w:t>
      </w:r>
    </w:p>
    <w:p>
      <w:r>
        <w:rPr>
          <w:b/>
        </w:rPr>
        <w:t>Administrator actions.</w:t>
      </w:r>
      <w:r>
        <w:rPr/>
        <w:t xml:space="preserve"> The switch is "Delete old administrator actions", the field is "Months". Administrator actions show who changed what. The nightly run deletes old entries.</w:t>
      </w:r>
    </w:p>
    <w:p>
      <w:r>
        <w:rPr>
          <w:b/>
        </w:rPr>
        <w:t>Deleted accounts.</w:t>
      </w:r>
      <w:r>
        <w:rPr/>
        <w:t xml:space="preserve"> The switch is "Anonymize deleted users automatically". The period counts from the day the account was deleted. Name and e-mail address are replaced by a placeholder. Tickets and figures stay. When you switch it on, a preview shows who the first run will anonymize.</w:t>
      </w:r>
    </w:p>
    <w:p>
      <w:r>
        <w:rPr>
          <w:b/>
        </w:rPr>
        <w:t>External contacts.</w:t>
      </w:r>
      <w:r>
        <w:rPr/>
        <w:t xml:space="preserve"> The switch is "Anonymize external contacts automatically", the field is "Months without contact". It covers people without a staff account. The period counts from the last contact. People with an open ticket are skipped.</w:t>
      </w:r>
    </w:p>
    <w:p>
      <w:r>
        <w:rPr>
          <w:b/>
        </w:rPr>
        <w:t>Received e-mails.</w:t>
      </w:r>
      <w:r>
        <w:rPr/>
        <w:t xml:space="preserve"> The field is "Retention (days)". Messages older than this are deleted from the inbox and the processed folder. The system's own record of the received e-mails is deleted as well. The ticket created from an e-mail stays. This applies only if the e-mail intake is set up.</w:t>
      </w:r>
    </w:p>
    <w:p>
      <w:r>
        <w:rPr>
          <w:b/>
        </w:rPr>
        <w:t>Archive files.</w:t>
      </w:r>
      <w:r>
        <w:rPr/>
        <w:t xml:space="preserve"> Archive files have no period. You decide yourself when to delete an archive file. After someone is anonymized, the nightly run updates the archive files as well.</w:t>
      </w:r>
    </w:p>
    <w:p>
      <w:r>
        <w:rPr>
          <w:b/>
        </w:rPr>
        <w:t>Backups.</w:t>
      </w:r>
      <w:r>
        <w:rPr/>
        <w:t xml:space="preserve"> Backups are your responsibility. Write down in your concept for retention and deletion how long you keep them. By default, the backup program creates a backup every day. It keeps one backup each for the last 14 days, 4 weeks, 12 months, 4 quarters and 5 years. A backup can therefore be kept for about five years. It does not delete backups created by hand. You can change these numbers in the backup program. Set them in your concept for retention and deletion. These backups are in the folder "backups" of the installation folder. An anonymization does not change an existing backup. Anonymizations from before a restore are applied again. The card "Data protection" shows this under "Restore from a backup".</w:t>
      </w:r>
    </w:p>
    <w:p>
      <w:r>
        <w:rPr>
          <w:b/>
        </w:rPr>
        <w:t>Backups before an update.</w:t>
      </w:r>
      <w:r>
        <w:rPr/>
        <w:t xml:space="preserve"> Before every update, the product creates a full backup. It contains the database, the attachments and the archive files. It is in the folder "Container" of the installation folder, in the subfolder "backups". On Linux this is the folder /opt/smitey/Container/backups by default. The product never deletes these backups itself. Decide how long you keep them, and delete older backups yourself.</w:t>
      </w:r>
    </w:p>
    <w:p>
      <w:r>
        <w:rPr/>
        <w:t>The anonymizations run once a day at 03:00. The time zone is the one under "General Settings". Each block on the card shows the result of the last run in a line "Last run".</w:t>
      </w:r>
    </w:p>
    <w:p>
      <w:pPr>
        <w:pStyle w:val="Heading1"/>
      </w:pPr>
      <w:r>
        <w:t>People who come back</w:t>
      </w:r>
    </w:p>
    <w:p>
      <w:r>
        <w:rPr/>
        <w:t>A person may contact you again after an anonymization. Old anonymizations never affect their new data. When an anonymization is applied again, it only covers data that was created before it. This also applies after a backup or an archive has been restored.</w:t>
      </w:r>
    </w:p>
    <w:p>
      <w:pPr>
        <w:pStyle w:val="Heading1"/>
      </w:pPr>
      <w:r>
        <w:t>Proof of anonymizations</w:t>
      </w:r>
    </w:p>
    <w:p>
      <w:r>
        <w:rPr/>
        <w:t>"Download list of anonymizations" lists every anonymization so far. Keep this list. You need it if you restore an older backup.</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fldSimple w:instr="PAGE">
      <w:r>
        <w:rPr>
          <w:sz w:val="17"/>
        </w:rPr>
        <w:t>1</w:t>
      </w:r>
    </w:fldSimple>
    <w:r>
      <w:rPr>
        <w:sz w:val="17"/>
      </w:rPr>
      <w:t xml:space="preserve"> of </w:t>
    </w:r>
    <w:fldSimple w:instr="NUMPAGES">
      <w:r>
        <w:rPr>
          <w:sz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s="Arial" w:eastAsia="Arial"/>
      <w:color w:val="111111"/>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111111"/>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s="Arial" w:eastAsia="Arial"/>
      <w:b/>
      <w:color w:val="11111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Retention and deletion</dc:title>
  <dc:subject>sha256:08abdc4639beeff6c02e735a1808d8a4a50f4088d7254412f21e3b314948ac9c</dc:subject>
  <dc:creator>Smitey</dc:creator>
  <cp:keywords/>
  <dc:description>This guide is a working aid. It is not legal advice.</dc:description>
  <cp:lastModifiedBy>Smitey</cp:lastModifiedBy>
  <cp:revision>1</cp:revision>
  <dcterms:created xsi:type="dcterms:W3CDTF">2026-10-06T19:40:58Z</dcterms:created>
  <dcterms:modified xsi:type="dcterms:W3CDTF">2026-10-06T19:40:58Z</dcterms:modified>
  <cp:category/>
  <dc:language>en-GB</dc:language>
</cp:coreProperties>
</file>