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Technical and organisational measures</w:t>
      </w:r>
    </w:p>
    <w:p>
      <w:r>
        <w:rPr>
          <w:i/>
        </w:rPr>
        <w:t>Template B from the data protection guide for operators</w:t>
      </w:r>
    </w:p>
    <w:p>
      <w:r>
        <w:rPr>
          <w:b/>
        </w:rPr>
        <w:t>This guide is a working aid. It is not legal advice.</w:t>
      </w:r>
    </w:p>
    <w:p>
      <w:r>
        <w:rPr/>
        <w:t>Art. 32 GDPR requires appropriate technical and organisational measures. The first table lists what the software provides. The second table lists what you organise yourself. Add the measures of your company.</w:t>
      </w:r>
    </w:p>
    <w:p>
      <w:pPr>
        <w:pStyle w:val="Heading1"/>
      </w:pPr>
      <w:r>
        <w:t>What the software provides</w:t>
      </w:r>
    </w:p>
    <w:tbl>
      <w:tblPr>
        <w:tblStyle w:val="TableGrid"/>
        <w:tblW w:type="auto" w:w="0"/>
        <w:jc w:val="left"/>
        <w:tblCellMar>
          <w:top w:w="50" w:type="dxa"/>
          <w:left w:w="100" w:type="dxa"/>
          <w:bottom w:w="50" w:type="dxa"/>
          <w:right w:w="100" w:type="dxa"/>
        </w:tblCellMar>
        <w:tblLook w:firstColumn="1" w:firstRow="1" w:lastColumn="0" w:lastRow="0" w:noHBand="0" w:noVBand="1" w:val="04A0"/>
      </w:tblPr>
      <w:tblGrid>
        <w:gridCol w:w="4819"/>
        <w:gridCol w:w="4819"/>
      </w:tblGrid>
      <w:tr>
        <w:trPr>
          <w:tblHeader w:val="true"/>
        </w:trPr>
        <w:tc>
          <w:tcPr>
            <w:tcW w:type="dxa" w:w="3662"/>
            <w:shd w:val="clear" w:color="auto" w:fill="E6E6E6"/>
          </w:tcPr>
          <w:p>
            <w:pPr>
              <w:spacing w:after="40"/>
            </w:pPr>
            <w:r>
              <w:rPr>
                <w:b/>
              </w:rPr>
              <w:t>Measure</w:t>
            </w:r>
          </w:p>
        </w:tc>
        <w:tc>
          <w:tcPr>
            <w:tcW w:type="dxa" w:w="5975"/>
            <w:shd w:val="clear" w:color="auto" w:fill="E6E6E6"/>
          </w:tcPr>
          <w:p>
            <w:pPr>
              <w:spacing w:after="40"/>
            </w:pPr>
            <w:r>
              <w:rPr>
                <w:b/>
              </w:rPr>
              <w:t>Implementation</w:t>
            </w:r>
          </w:p>
        </w:tc>
      </w:tr>
      <w:tr>
        <w:tc>
          <w:tcPr>
            <w:tcW w:type="dxa" w:w="3662"/>
          </w:tcPr>
          <w:p>
            <w:pPr>
              <w:spacing w:after="40"/>
            </w:pPr>
            <w:r>
              <w:rPr/>
              <w:t>Passwords</w:t>
            </w:r>
          </w:p>
        </w:tc>
        <w:tc>
          <w:tcPr>
            <w:tcW w:type="dxa" w:w="5975"/>
          </w:tcPr>
          <w:p>
            <w:pPr>
              <w:spacing w:after="40"/>
            </w:pPr>
            <w:r>
              <w:rPr/>
              <w:t>Passwords are stored only as a hash. You set length and character rules under "Password policy".</w:t>
            </w:r>
          </w:p>
        </w:tc>
      </w:tr>
      <w:tr>
        <w:tc>
          <w:tcPr>
            <w:tcW w:type="dxa" w:w="3662"/>
          </w:tcPr>
          <w:p>
            <w:pPr>
              <w:spacing w:after="40"/>
            </w:pPr>
            <w:r>
              <w:rPr/>
              <w:t>Failed sign-ins</w:t>
            </w:r>
          </w:p>
        </w:tc>
        <w:tc>
          <w:tcPr>
            <w:tcW w:type="dxa" w:w="5975"/>
          </w:tcPr>
          <w:p>
            <w:pPr>
              <w:spacing w:after="40"/>
            </w:pPr>
            <w:r>
              <w:rPr/>
              <w:t>By default, after 5 failed attempts for the same account, the system pauses the IP address they came from for 15 minutes. The account stays usable from other IP addresses. By default, after 20 failed attempts, the system locks the account itself for 15 minutes.</w:t>
            </w:r>
          </w:p>
        </w:tc>
      </w:tr>
      <w:tr>
        <w:tc>
          <w:tcPr>
            <w:tcW w:type="dxa" w:w="3662"/>
          </w:tcPr>
          <w:p>
            <w:pPr>
              <w:spacing w:after="40"/>
            </w:pPr>
            <w:r>
              <w:rPr/>
              <w:t>Two-factor authentication</w:t>
            </w:r>
          </w:p>
        </w:tc>
        <w:tc>
          <w:tcPr>
            <w:tcW w:type="dxa" w:w="5975"/>
          </w:tcPr>
          <w:p>
            <w:pPr>
              <w:spacing w:after="40"/>
            </w:pPr>
            <w:r>
              <w:rPr/>
              <w:t>Under "2FA Settings" you require an authenticator app at sign-in. You choose between staff only and all users.</w:t>
            </w:r>
          </w:p>
        </w:tc>
      </w:tr>
      <w:tr>
        <w:tc>
          <w:tcPr>
            <w:tcW w:type="dxa" w:w="3662"/>
          </w:tcPr>
          <w:p>
            <w:pPr>
              <w:spacing w:after="40"/>
            </w:pPr>
            <w:r>
              <w:rPr/>
              <w:t>Roles and permissions</w:t>
            </w:r>
          </w:p>
        </w:tc>
        <w:tc>
          <w:tcPr>
            <w:tcW w:type="dxa" w:w="5975"/>
          </w:tcPr>
          <w:p>
            <w:pPr>
              <w:spacing w:after="40"/>
            </w:pPr>
            <w:r>
              <w:rPr/>
              <w:t>Each role has its own permissions per function.</w:t>
            </w:r>
          </w:p>
        </w:tc>
      </w:tr>
      <w:tr>
        <w:tc>
          <w:tcPr>
            <w:tcW w:type="dxa" w:w="3662"/>
          </w:tcPr>
          <w:p>
            <w:pPr>
              <w:spacing w:after="40"/>
            </w:pPr>
            <w:r>
              <w:rPr/>
              <w:t>Teams</w:t>
            </w:r>
          </w:p>
        </w:tc>
        <w:tc>
          <w:tcPr>
            <w:tcW w:type="dxa" w:w="5975"/>
          </w:tcPr>
          <w:p>
            <w:pPr>
              <w:spacing w:after="40"/>
            </w:pPr>
            <w:r>
              <w:rPr/>
              <w:t>Agents work on the tickets of their teams.</w:t>
            </w:r>
          </w:p>
        </w:tc>
      </w:tr>
      <w:tr>
        <w:tc>
          <w:tcPr>
            <w:tcW w:type="dxa" w:w="3662"/>
          </w:tcPr>
          <w:p>
            <w:pPr>
              <w:spacing w:after="40"/>
            </w:pPr>
            <w:r>
              <w:rPr/>
              <w:t>Security log</w:t>
            </w:r>
          </w:p>
        </w:tc>
        <w:tc>
          <w:tcPr>
            <w:tcW w:type="dxa" w:w="5975"/>
          </w:tcPr>
          <w:p>
            <w:pPr>
              <w:spacing w:after="40"/>
            </w:pPr>
            <w:r>
              <w:rPr/>
              <w:t>Sign-in events and administrator actions are recorded under "Security log". Important events show a notice to everyone who may open the log. In the Professional edition they also send an e-mail.</w:t>
            </w:r>
          </w:p>
        </w:tc>
      </w:tr>
      <w:tr>
        <w:tc>
          <w:tcPr>
            <w:tcW w:type="dxa" w:w="3662"/>
          </w:tcPr>
          <w:p>
            <w:pPr>
              <w:spacing w:after="40"/>
            </w:pPr>
            <w:r>
              <w:rPr/>
              <w:t>Stored access data</w:t>
            </w:r>
          </w:p>
        </w:tc>
        <w:tc>
          <w:tcPr>
            <w:tcW w:type="dxa" w:w="5975"/>
          </w:tcPr>
          <w:p>
            <w:pPr>
              <w:spacing w:after="40"/>
            </w:pPr>
            <w:r>
              <w:rPr/>
              <w:t>Passwords for mailboxes and single sign-on are stored encrypted.</w:t>
            </w:r>
          </w:p>
        </w:tc>
      </w:tr>
      <w:tr>
        <w:tc>
          <w:tcPr>
            <w:tcW w:type="dxa" w:w="3662"/>
          </w:tcPr>
          <w:p>
            <w:pPr>
              <w:spacing w:after="40"/>
            </w:pPr>
            <w:r>
              <w:rPr/>
              <w:t>Updates</w:t>
            </w:r>
          </w:p>
        </w:tc>
        <w:tc>
          <w:tcPr>
            <w:tcW w:type="dxa" w:w="5975"/>
          </w:tcPr>
          <w:p>
            <w:pPr>
              <w:spacing w:after="40"/>
            </w:pPr>
            <w:r>
              <w:rPr/>
              <w:t>Update packages carry a signature. The installation checks it before it installs anything. Before an update, the system makes a full backup.</w:t>
            </w:r>
          </w:p>
        </w:tc>
      </w:tr>
      <w:tr>
        <w:tc>
          <w:tcPr>
            <w:tcW w:type="dxa" w:w="3662"/>
          </w:tcPr>
          <w:p>
            <w:pPr>
              <w:spacing w:after="40"/>
            </w:pPr>
            <w:r>
              <w:rPr/>
              <w:t>Browser protection</w:t>
            </w:r>
          </w:p>
        </w:tc>
        <w:tc>
          <w:tcPr>
            <w:tcW w:type="dxa" w:w="5975"/>
          </w:tcPr>
          <w:p>
            <w:pPr>
              <w:spacing w:after="40"/>
            </w:pPr>
            <w:r>
              <w:rPr/>
              <w:t>The included web server sends a content security policy. It limits which scripts a browser may run.</w:t>
            </w:r>
          </w:p>
        </w:tc>
      </w:tr>
      <w:tr>
        <w:tc>
          <w:tcPr>
            <w:tcW w:type="dxa" w:w="3662"/>
          </w:tcPr>
          <w:p>
            <w:pPr>
              <w:spacing w:after="40"/>
            </w:pPr>
            <w:r>
              <w:rPr/>
              <w:t>Uploads</w:t>
            </w:r>
          </w:p>
        </w:tc>
        <w:tc>
          <w:tcPr>
            <w:tcW w:type="dxa" w:w="5975"/>
          </w:tcPr>
          <w:p>
            <w:pPr>
              <w:spacing w:after="40"/>
            </w:pPr>
            <w:r>
              <w:rPr/>
              <w:t>Attachments are only accepted for allowed file types and up to a size limit.</w:t>
            </w:r>
          </w:p>
        </w:tc>
      </w:tr>
      <w:tr>
        <w:tc>
          <w:tcPr>
            <w:tcW w:type="dxa" w:w="3662"/>
          </w:tcPr>
          <w:p>
            <w:pPr>
              <w:spacing w:after="40"/>
            </w:pPr>
            <w:r>
              <w:rPr/>
              <w:t>Retention periods</w:t>
            </w:r>
          </w:p>
        </w:tc>
        <w:tc>
          <w:tcPr>
            <w:tcW w:type="dxa" w:w="5975"/>
          </w:tcPr>
          <w:p>
            <w:pPr>
              <w:spacing w:after="40"/>
            </w:pPr>
            <w:r>
              <w:rPr/>
              <w:t>Old data is deleted or anonymized automatically. Chapter C lists the periods.</w:t>
            </w:r>
          </w:p>
        </w:tc>
      </w:tr>
      <w:tr>
        <w:tc>
          <w:tcPr>
            <w:tcW w:type="dxa" w:w="3662"/>
          </w:tcPr>
          <w:p>
            <w:pPr>
              <w:spacing w:after="40"/>
            </w:pPr>
            <w:r>
              <w:rPr/>
              <w:t>Data export</w:t>
            </w:r>
          </w:p>
        </w:tc>
        <w:tc>
          <w:tcPr>
            <w:tcW w:type="dxa" w:w="5975"/>
          </w:tcPr>
          <w:p>
            <w:pPr>
              <w:spacing w:after="40"/>
            </w:pPr>
            <w:r>
              <w:rPr/>
              <w:t>An administrator exports all data about a person as one file. Chapter D describes the steps.</w:t>
            </w:r>
          </w:p>
        </w:tc>
      </w:tr>
      <w:tr>
        <w:tc>
          <w:tcPr>
            <w:tcW w:type="dxa" w:w="3662"/>
          </w:tcPr>
          <w:p>
            <w:pPr>
              <w:spacing w:after="40"/>
            </w:pPr>
            <w:r>
              <w:rPr/>
              <w:t>Anonymization</w:t>
            </w:r>
          </w:p>
        </w:tc>
        <w:tc>
          <w:tcPr>
            <w:tcW w:type="dxa" w:w="5975"/>
          </w:tcPr>
          <w:p>
            <w:pPr>
              <w:spacing w:after="40"/>
            </w:pPr>
            <w:r>
              <w:rPr/>
              <w:t>Name and e-mail address of a person are replaced by a placeholder. Tickets and figures stay.</w:t>
            </w:r>
          </w:p>
        </w:tc>
      </w:tr>
    </w:tbl>
    <w:p>
      <w:pPr>
        <w:spacing w:after="0"/>
      </w:pPr>
    </w:p>
    <w:p>
      <w:pPr>
        <w:pStyle w:val="Heading1"/>
      </w:pPr>
      <w:r>
        <w:t>What you organise yourself</w:t>
      </w:r>
    </w:p>
    <w:tbl>
      <w:tblPr>
        <w:tblStyle w:val="TableGrid"/>
        <w:tblW w:type="auto" w:w="0"/>
        <w:jc w:val="left"/>
        <w:tblCellMar>
          <w:top w:w="50" w:type="dxa"/>
          <w:left w:w="100" w:type="dxa"/>
          <w:bottom w:w="50" w:type="dxa"/>
          <w:right w:w="100" w:type="dxa"/>
        </w:tblCellMar>
        <w:tblLook w:firstColumn="1" w:firstRow="1" w:lastColumn="0" w:lastRow="0" w:noHBand="0" w:noVBand="1" w:val="04A0"/>
      </w:tblPr>
      <w:tblGrid>
        <w:gridCol w:w="4819"/>
        <w:gridCol w:w="4819"/>
      </w:tblGrid>
      <w:tr>
        <w:trPr>
          <w:tblHeader w:val="true"/>
        </w:trPr>
        <w:tc>
          <w:tcPr>
            <w:tcW w:type="dxa" w:w="3662"/>
            <w:shd w:val="clear" w:color="auto" w:fill="E6E6E6"/>
          </w:tcPr>
          <w:p>
            <w:pPr>
              <w:spacing w:after="40"/>
            </w:pPr>
            <w:r>
              <w:rPr>
                <w:b/>
              </w:rPr>
              <w:t>Measure</w:t>
            </w:r>
          </w:p>
        </w:tc>
        <w:tc>
          <w:tcPr>
            <w:tcW w:type="dxa" w:w="5975"/>
            <w:shd w:val="clear" w:color="auto" w:fill="E6E6E6"/>
          </w:tcPr>
          <w:p>
            <w:pPr>
              <w:spacing w:after="40"/>
            </w:pPr>
            <w:r>
              <w:rPr>
                <w:b/>
              </w:rPr>
              <w:t>Your task</w:t>
            </w:r>
          </w:p>
        </w:tc>
      </w:tr>
      <w:tr>
        <w:tc>
          <w:tcPr>
            <w:tcW w:type="dxa" w:w="3662"/>
          </w:tcPr>
          <w:p>
            <w:pPr>
              <w:spacing w:after="40"/>
            </w:pPr>
            <w:r>
              <w:rPr/>
              <w:t>Server and hosting</w:t>
            </w:r>
          </w:p>
        </w:tc>
        <w:tc>
          <w:tcPr>
            <w:tcW w:type="dxa" w:w="5975"/>
          </w:tcPr>
          <w:p>
            <w:pPr>
              <w:spacing w:after="40"/>
            </w:pPr>
            <w:r>
              <w:rPr/>
              <w:t>Choose the server and the data centre. Keep the operating system up to date.</w:t>
            </w:r>
          </w:p>
        </w:tc>
      </w:tr>
      <w:tr>
        <w:tc>
          <w:tcPr>
            <w:tcW w:type="dxa" w:w="3662"/>
          </w:tcPr>
          <w:p>
            <w:pPr>
              <w:spacing w:after="40"/>
            </w:pPr>
            <w:r>
              <w:rPr/>
              <w:t>Encryption in transit</w:t>
            </w:r>
          </w:p>
        </w:tc>
        <w:tc>
          <w:tcPr>
            <w:tcW w:type="dxa" w:w="5975"/>
          </w:tcPr>
          <w:p>
            <w:pPr>
              <w:spacing w:after="40"/>
            </w:pPr>
            <w:r>
              <w:rPr/>
              <w:t>Turn on HTTPS for the installation.</w:t>
            </w:r>
          </w:p>
        </w:tc>
      </w:tr>
      <w:tr>
        <w:tc>
          <w:tcPr>
            <w:tcW w:type="dxa" w:w="3662"/>
          </w:tcPr>
          <w:p>
            <w:pPr>
              <w:spacing w:after="40"/>
            </w:pPr>
            <w:r>
              <w:rPr/>
              <w:t>Backups</w:t>
            </w:r>
          </w:p>
        </w:tc>
        <w:tc>
          <w:tcPr>
            <w:tcW w:type="dxa" w:w="5975"/>
          </w:tcPr>
          <w:p>
            <w:pPr>
              <w:spacing w:after="40"/>
            </w:pPr>
            <w:r>
              <w:rPr/>
              <w:t>Make backups regularly. Decide how long you keep them. Store them protected from access by others.</w:t>
            </w:r>
          </w:p>
        </w:tc>
      </w:tr>
      <w:tr>
        <w:tc>
          <w:tcPr>
            <w:tcW w:type="dxa" w:w="3662"/>
          </w:tcPr>
          <w:p>
            <w:pPr>
              <w:spacing w:after="40"/>
            </w:pPr>
            <w:r>
              <w:rPr/>
              <w:t>Access to the server</w:t>
            </w:r>
          </w:p>
        </w:tc>
        <w:tc>
          <w:tcPr>
            <w:tcW w:type="dxa" w:w="5975"/>
          </w:tcPr>
          <w:p>
            <w:pPr>
              <w:spacing w:after="40"/>
            </w:pPr>
            <w:r>
              <w:rPr/>
              <w:t>Allow only a few people to access the server and its files.</w:t>
            </w:r>
          </w:p>
        </w:tc>
      </w:tr>
      <w:tr>
        <w:tc>
          <w:tcPr>
            <w:tcW w:type="dxa" w:w="3662"/>
          </w:tcPr>
          <w:p>
            <w:pPr>
              <w:spacing w:after="40"/>
            </w:pPr>
            <w:r>
              <w:rPr/>
              <w:t>Updates</w:t>
            </w:r>
          </w:p>
        </w:tc>
        <w:tc>
          <w:tcPr>
            <w:tcW w:type="dxa" w:w="5975"/>
          </w:tcPr>
          <w:p>
            <w:pPr>
              <w:spacing w:after="40"/>
            </w:pPr>
            <w:r>
              <w:rPr/>
              <w:t>Install updates of the ticket system promptly.</w:t>
            </w:r>
          </w:p>
        </w:tc>
      </w:tr>
      <w:tr>
        <w:tc>
          <w:tcPr>
            <w:tcW w:type="dxa" w:w="3662"/>
          </w:tcPr>
          <w:p>
            <w:pPr>
              <w:spacing w:after="40"/>
            </w:pPr>
            <w:r>
              <w:rPr/>
              <w:t>User management</w:t>
            </w:r>
          </w:p>
        </w:tc>
        <w:tc>
          <w:tcPr>
            <w:tcW w:type="dxa" w:w="5975"/>
          </w:tcPr>
          <w:p>
            <w:pPr>
              <w:spacing w:after="40"/>
            </w:pPr>
            <w:r>
              <w:rPr/>
              <w:t>Give each person only the role they need. Delete the account when someone leaves.</w:t>
            </w:r>
          </w:p>
        </w:tc>
      </w:tr>
      <w:tr>
        <w:tc>
          <w:tcPr>
            <w:tcW w:type="dxa" w:w="3662"/>
          </w:tcPr>
          <w:p>
            <w:pPr>
              <w:spacing w:after="40"/>
            </w:pPr>
            <w:r>
              <w:rPr/>
              <w:t>Training</w:t>
            </w:r>
          </w:p>
        </w:tc>
        <w:tc>
          <w:tcPr>
            <w:tcW w:type="dxa" w:w="5975"/>
          </w:tcPr>
          <w:p>
            <w:pPr>
              <w:spacing w:after="40"/>
            </w:pPr>
            <w:r>
              <w:rPr/>
              <w:t>Instruct employees on data protection and on handling tickets.</w:t>
            </w:r>
          </w:p>
        </w:tc>
      </w:tr>
    </w:tbl>
    <w:p>
      <w:pPr>
        <w:spacing w:after="0"/>
      </w:pP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7"/>
      </w:rPr>
      <w:t xml:space="preserve">Page </w:t>
    </w:r>
    <w:fldSimple w:instr="PAGE">
      <w:r>
        <w:rPr>
          <w:sz w:val="17"/>
        </w:rPr>
        <w:t>1</w:t>
      </w:r>
    </w:fldSimple>
    <w:r>
      <w:rPr>
        <w:sz w:val="17"/>
      </w:rPr>
      <w:t xml:space="preserve"> of </w:t>
    </w:r>
    <w:fldSimple w:instr="NUMPAGES">
      <w:r>
        <w:rPr>
          <w:sz w:val="17"/>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s="Arial" w:eastAsia="Arial"/>
      <w:color w:val="111111"/>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cs="Arial" w:eastAsia="Arial"/>
      <w:b/>
      <w:bCs/>
      <w:color w:val="111111"/>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cs="Arial" w:eastAsia="Arial"/>
      <w:b/>
      <w:color w:val="111111"/>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and organisational measures</dc:title>
  <dc:subject>sha256:08abdc4639beeff6c02e735a1808d8a4a50f4088d7254412f21e3b314948ac9c</dc:subject>
  <dc:creator>Smitey</dc:creator>
  <cp:keywords/>
  <dc:description>This guide is a working aid. It is not legal advice.</dc:description>
  <cp:lastModifiedBy>Smitey</cp:lastModifiedBy>
  <cp:revision>1</cp:revision>
  <dcterms:created xsi:type="dcterms:W3CDTF">2026-10-06T19:40:58Z</dcterms:created>
  <dcterms:modified xsi:type="dcterms:W3CDTF">2026-10-06T19:40:58Z</dcterms:modified>
  <cp:category/>
  <dc:language>en-GB</dc:language>
</cp:coreProperties>
</file>