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Verzeichnis von Verarbeitungstätigkeiten</w:t>
      </w:r>
    </w:p>
    <w:p>
      <w:r>
        <w:rPr>
          <w:i/>
        </w:rPr>
        <w:t>Vorlage A aus dem Datenschutz-Leitfaden für Betreiber</w:t>
      </w:r>
    </w:p>
    <w:p>
      <w:r>
        <w:rPr>
          <w:b/>
        </w:rPr>
        <w:t>Dieser Leitfaden ist eine Arbeitshilfe. Er ist keine Rechtsberatung.</w:t>
      </w:r>
    </w:p>
    <w:p>
      <w:r>
        <w:rPr/>
        <w:t>Art. 30 DSGVO verlangt ein Verzeichnis von Verarbeitungstätigkeiten. Diese Vorlage deckt das Ticket-System ab. Füllen Sie die vier leeren Felder aus. Ihre übrigen Verarbeitungen gehören in Ihr eigenes Verzeichnis.</w:t>
      </w:r>
    </w:p>
    <w:tbl>
      <w:tblPr>
        <w:tblStyle w:val="TableGrid"/>
        <w:tblW w:type="auto" w:w="0"/>
        <w:jc w:val="left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662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Feld</w:t>
            </w:r>
          </w:p>
        </w:tc>
        <w:tc>
          <w:tcPr>
            <w:tcW w:type="dxa" w:w="5975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Eintrag</w:t>
            </w: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Firma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Verantwortlicher und Kontaktdaten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Datenschutzbeauftragter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  <w:tr>
        <w:trPr>
          <w:trHeight w:val="510" w:hRule="atLeast"/>
        </w:trPr>
        <w:tc>
          <w:tcPr>
            <w:tcW w:type="dxa" w:w="3662"/>
          </w:tcPr>
          <w:p>
            <w:pPr>
              <w:spacing w:after="40"/>
            </w:pPr>
            <w:r>
              <w:rPr/>
              <w:t>Hosting des Servers</w:t>
            </w:r>
          </w:p>
        </w:tc>
        <w:tc>
          <w:tcPr>
            <w:tcW w:type="dxa" w:w="5975"/>
            <w:shd w:val="clear" w:color="auto" w:fill="F2F2F2"/>
          </w:tcPr>
          <w:p>
            <w:pPr>
              <w:spacing w:after="40"/>
            </w:pPr>
          </w:p>
        </w:tc>
      </w:tr>
    </w:tbl>
    <w:p>
      <w:pPr>
        <w:spacing w:after="0"/>
      </w:pPr>
    </w:p>
    <w:p>
      <w:pPr>
        <w:pStyle w:val="Heading1"/>
      </w:pPr>
      <w:r>
        <w:t>Zwecke und Daten</w:t>
      </w:r>
    </w:p>
    <w:tbl>
      <w:tblPr>
        <w:tblStyle w:val="TableGrid"/>
        <w:tblW w:type="auto" w:w="0"/>
        <w:jc w:val="left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120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Zweck</w:t>
            </w:r>
          </w:p>
        </w:tc>
        <w:tc>
          <w:tcPr>
            <w:tcW w:type="dxa" w:w="2506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Betroffene</w:t>
            </w:r>
          </w:p>
        </w:tc>
        <w:tc>
          <w:tcPr>
            <w:tcW w:type="dxa" w:w="5012"/>
            <w:shd w:val="clear" w:color="auto" w:fill="E6E6E6"/>
          </w:tcPr>
          <w:p>
            <w:pPr>
              <w:spacing w:after="40"/>
            </w:pPr>
            <w:r>
              <w:rPr>
                <w:b/>
              </w:rPr>
              <w:t>Daten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Bearbeitung von Anfragen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Kunden, externe Kontakte, Mitarbeiter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E-Mail-Adresse, Telefonnummer, Ticketinhalt, Kommentare, Anhänge, Ticketverlauf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Verwaltung der Benutzerkonten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Mitarbeiter, Kunden mit Konto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E-Mail-Adresse, Anmeldename, Abteilung, Position, Standort, Rolle, Teamzugehörigkeiten, Passwort als Hash, Schlüssel der Zwei-Faktor-Anmeldung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Sicherheitsprotokoll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Benutzer, Administratoren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fehlgeschlagene Anmeldungen, Kontosperren und Passwortänderungen mit IP-Adresse und Browser; erfolgreiche Anmeldungen nur bei Administratoren oder nach Fehlversuchen; Verwaltungsaktionen mit dem Namen der handelnden Person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E-Mail-Kanal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Absender und Empfänger von E-Mails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E-Mail-Adresse, Betreff, Nachrichtentext, Anhänge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Zufriedenheitsumfrage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Anfragende gelöster Tickets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E-Mail-Adresse, Bewertung, Kommentar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Zeiterfassung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Agenten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gebuchte Zeit, Notiz</w:t>
            </w:r>
          </w:p>
        </w:tc>
      </w:tr>
      <w:tr>
        <w:tc>
          <w:tcPr>
            <w:tcW w:type="dxa" w:w="2120"/>
          </w:tcPr>
          <w:p>
            <w:pPr>
              <w:spacing w:after="40"/>
            </w:pPr>
            <w:r>
              <w:rPr/>
              <w:t>Wissensdatenbank</w:t>
            </w:r>
          </w:p>
        </w:tc>
        <w:tc>
          <w:tcPr>
            <w:tcW w:type="dxa" w:w="2506"/>
          </w:tcPr>
          <w:p>
            <w:pPr>
              <w:spacing w:after="40"/>
            </w:pPr>
            <w:r>
              <w:rPr/>
              <w:t>Autoren von Artikeln</w:t>
            </w:r>
          </w:p>
        </w:tc>
        <w:tc>
          <w:tcPr>
            <w:tcW w:type="dxa" w:w="5012"/>
          </w:tcPr>
          <w:p>
            <w:pPr>
              <w:spacing w:after="40"/>
            </w:pPr>
            <w:r>
              <w:rPr/>
              <w:t>Name, Änderungen an Artikeln</w:t>
            </w:r>
          </w:p>
        </w:tc>
      </w:tr>
    </w:tbl>
    <w:p>
      <w:pPr>
        <w:spacing w:after="0"/>
      </w:pPr>
    </w:p>
    <w:p>
      <w:pPr>
        <w:pStyle w:val="Heading1"/>
      </w:pPr>
      <w:r>
        <w:t>Betroffene</w:t>
      </w:r>
    </w:p>
    <w:p>
      <w:r>
        <w:rPr/>
        <w:t>Mitarbeiter mit einem Mitarbeiterkonto, zum Beispiel Agenten und Administratoren. Kunden mit einem Konto. Externe Kontakte ohne Konto, die nur über ihre E-Mail-Adresse bekannt sind.</w:t>
      </w:r>
    </w:p>
    <w:p>
      <w:pPr>
        <w:pStyle w:val="Heading1"/>
      </w:pPr>
      <w:r>
        <w:t>Empfänger</w:t>
      </w:r>
    </w:p>
    <w:p>
      <w:r>
        <w:rPr/>
        <w:t>Die Mitarbeiter Ihrer Firma erhalten Daten nach ihrer Rolle und ihren Teams. Nutzen Sie den E-Mail-Kanal, erhält Ihr Mailanbieter die E-Mails. Bei Single Sign-On oder einem Verzeichnisdienst erhält dieser Anbieter die Anmeldedaten. Ihr Hosting-Anbieter betreibt den Server. Smitey erhält keine Inhalte der Installation. Kapitel E nennt die Lizenzdaten, die die Installation sendet.</w:t>
      </w:r>
    </w:p>
    <w:p>
      <w:pPr>
        <w:pStyle w:val="Heading1"/>
      </w:pPr>
      <w:r>
        <w:t>Übermittlung in Drittländer</w:t>
      </w:r>
    </w:p>
    <w:p>
      <w:r>
        <w:rPr/>
        <w:t>Die Software selbst übermittelt keine Inhalte in Drittländer. Ob eine Übermittlung stattfindet, hängt von Ihrem Hosting-Anbieter, Ihrem Mailanbieter und Ihrem Anmeldedienst ab.</w:t>
      </w:r>
    </w:p>
    <w:p>
      <w:pPr>
        <w:pStyle w:val="Heading1"/>
      </w:pPr>
      <w:r>
        <w:t>Fristen und Maßnahmen</w:t>
      </w:r>
    </w:p>
    <w:p>
      <w:r>
        <w:rPr/>
        <w:t>Die Fristen stehen in Kapitel C. Die technischen und organisatorischen Maßnahmen stehen in Kapitel B.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t xml:space="preserve">Seite </w:t>
    </w:r>
    <w:fldSimple w:instr="PAGE">
      <w:r>
        <w:rPr>
          <w:sz w:val="17"/>
        </w:rPr>
        <w:t>1</w:t>
      </w:r>
    </w:fldSimple>
    <w:r>
      <w:rPr>
        <w:sz w:val="17"/>
      </w:rPr>
      <w:t xml:space="preserve"> von </w:t>
    </w:r>
    <w:fldSimple w:instr="NUMPAGES">
      <w:r>
        <w:rPr>
          <w:sz w:val="17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cs="Arial" w:eastAsia="Arial"/>
      <w:color w:val="11111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111111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Verzeichnis von Verarbeitungstätigkeiten</dc:title>
  <dc:subject>sha256:0745983afa5fc1577ed443ab6838870b0a7b14b27a5764becbdf2b04d0712411</dc:subject>
  <dc:creator>Smitey</dc:creator>
  <cp:keywords/>
  <dc:description>Dieser Leitfaden ist eine Arbeitshilfe. Er ist keine Rechtsberatung.</dc:description>
  <cp:lastModifiedBy>Smitey</cp:lastModifiedBy>
  <cp:revision>1</cp:revision>
  <dcterms:created xsi:type="dcterms:W3CDTF">2026-10-06T19:55:29Z</dcterms:created>
  <dcterms:modified xsi:type="dcterms:W3CDTF">2026-10-06T19:55:29Z</dcterms:modified>
  <cp:category/>
  <dc:language>de-DE</dc:language>
</cp:coreProperties>
</file>